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BC5479">
      <w:pPr>
        <w:pStyle w:val="5"/>
        <w:snapToGrid w:val="0"/>
        <w:spacing w:line="480" w:lineRule="exact"/>
        <w:rPr>
          <w:rFonts w:ascii="仿宋" w:hAnsi="仿宋" w:eastAsia="仿宋"/>
          <w:sz w:val="36"/>
          <w:szCs w:val="36"/>
        </w:rPr>
      </w:pPr>
      <w:r>
        <w:rPr>
          <w:rFonts w:ascii="仿宋" w:hAnsi="仿宋" w:eastAsia="仿宋"/>
          <w:sz w:val="36"/>
          <w:szCs w:val="36"/>
        </w:rPr>
        <w:t>202</w:t>
      </w:r>
      <w:r>
        <w:rPr>
          <w:rFonts w:hint="eastAsia" w:ascii="仿宋" w:hAnsi="仿宋" w:eastAsia="仿宋"/>
          <w:sz w:val="36"/>
          <w:szCs w:val="36"/>
          <w:lang w:val="en-US" w:eastAsia="zh-CN"/>
        </w:rPr>
        <w:t>4</w:t>
      </w:r>
      <w:r>
        <w:rPr>
          <w:rFonts w:ascii="仿宋" w:hAnsi="仿宋" w:eastAsia="仿宋"/>
          <w:sz w:val="36"/>
          <w:szCs w:val="36"/>
        </w:rPr>
        <w:t>级“海洋科学（物理海洋与观测技术）”</w:t>
      </w:r>
      <w:r>
        <w:rPr>
          <w:rFonts w:ascii="仿宋" w:hAnsi="仿宋" w:eastAsia="仿宋"/>
          <w:color w:val="333333"/>
          <w:sz w:val="36"/>
          <w:szCs w:val="36"/>
        </w:rPr>
        <w:t>专业本科人才培养方案</w:t>
      </w:r>
    </w:p>
    <w:p w14:paraId="75015C6D">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color w:val="000000"/>
          <w:sz w:val="32"/>
          <w:szCs w:val="32"/>
        </w:rPr>
        <w:t>培养目标与规格</w:t>
      </w:r>
    </w:p>
    <w:p w14:paraId="5043C3D3">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52BC43CD">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上海交通大学海洋学院物理海洋学科团队聚焦</w:t>
      </w:r>
      <w:r>
        <w:rPr>
          <w:rFonts w:ascii="仿宋" w:hAnsi="仿宋" w:eastAsia="仿宋"/>
          <w:color w:val="000000"/>
          <w:sz w:val="28"/>
          <w:szCs w:val="28"/>
          <w:shd w:val="clear" w:color="auto" w:fill="FFFFFF"/>
        </w:rPr>
        <w:t>海洋中物理和生态过程研究，包括海洋动力学、海气和陆海相互作用、气候变化、及物理海洋过程对生物地球化学过程和生物过程的影响，在大-中-小尺度过程开展观测、理论和数值模拟研究；</w:t>
      </w:r>
      <w:r>
        <w:rPr>
          <w:rFonts w:ascii="仿宋" w:hAnsi="仿宋" w:eastAsia="仿宋"/>
          <w:color w:val="000000"/>
          <w:sz w:val="28"/>
          <w:szCs w:val="28"/>
        </w:rPr>
        <w:t>海洋技术研究团队致力于</w:t>
      </w:r>
      <w:r>
        <w:rPr>
          <w:rFonts w:ascii="仿宋" w:hAnsi="仿宋" w:eastAsia="仿宋"/>
          <w:color w:val="000000"/>
          <w:sz w:val="28"/>
          <w:szCs w:val="28"/>
          <w:shd w:val="clear" w:color="auto" w:fill="FFFFFF"/>
        </w:rPr>
        <w:t>支撑海洋科学发展的前沿重大技术难题，紧密围绕海洋生态环境监测、资源开发保护及海洋过程研究的需要，在遥感技术、卫星技术、水下平台技术、和传感器技术等领域开展国际一流的研究工作</w:t>
      </w:r>
      <w:r>
        <w:rPr>
          <w:rFonts w:ascii="仿宋" w:hAnsi="仿宋" w:eastAsia="仿宋"/>
          <w:color w:val="000000"/>
          <w:sz w:val="28"/>
          <w:szCs w:val="28"/>
        </w:rPr>
        <w:t>。</w:t>
      </w:r>
    </w:p>
    <w:p w14:paraId="1B81FA9F">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海洋科学（物理海洋与观测技术方向）”专业的人才培养目标是培养德智体美劳全面发展，数学、物理、力学、计算机等科学基础扎实，海洋科学与技术基本理论与人文素养深厚、动手实践能力强、专业兴趣驱动多学科协调发展的海洋技术学科领军人才；培养具有家国情怀、批判性思维能力、分析问题与解决问题能力、沟通协调能力、自我学习能力、国际化视野和多元文化包容理解能力的交叉复合型高端人才。毕业生能够从事海洋科学与技术领域相关研发和管理等工作，也可在本专业或其他相关专业继续深造。</w:t>
      </w:r>
    </w:p>
    <w:p w14:paraId="647875DC">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color w:val="000000"/>
          <w:sz w:val="32"/>
          <w:szCs w:val="32"/>
        </w:rPr>
        <w:t>规范与要求</w:t>
      </w:r>
    </w:p>
    <w:p w14:paraId="59981DCB">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A 价值引领</w:t>
      </w:r>
    </w:p>
    <w:p w14:paraId="3BBBCDB0">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A1 坚定理想信念，践行社会主义核心价值观</w:t>
      </w:r>
    </w:p>
    <w:p w14:paraId="2ECEA3B8">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A1.1 </w:t>
      </w:r>
      <w:r>
        <w:rPr>
          <w:rFonts w:hint="eastAsia" w:ascii="仿宋" w:hAnsi="仿宋" w:eastAsia="仿宋"/>
          <w:color w:val="000000"/>
          <w:sz w:val="28"/>
          <w:szCs w:val="28"/>
        </w:rPr>
        <w:t>道路自信。学习掌握马克思主义世界观和方法论，坚定马克思主义的信仰、社会主义和共产主义的信念、共产主义远大理想和中国特色社会主义共同理想，坚定走中国特色社会主义道路。</w:t>
      </w:r>
    </w:p>
    <w:p w14:paraId="486B87F6">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理论自信。坚持不懈用习近平新时代中国特色社会主义思想铸魂育人，教育引导学生了解世情国情党情民情，增强对党的创新理论的政治认同、思想认同、情感认同。</w:t>
      </w:r>
    </w:p>
    <w:p w14:paraId="604BB218">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w:t>
      </w:r>
      <w:r>
        <w:rPr>
          <w:rFonts w:hint="eastAsia" w:ascii="仿宋" w:hAnsi="仿宋" w:eastAsia="仿宋"/>
          <w:color w:val="000000"/>
          <w:sz w:val="28"/>
          <w:szCs w:val="28"/>
        </w:rPr>
        <w:t>3</w:t>
      </w:r>
      <w:r>
        <w:rPr>
          <w:rFonts w:ascii="仿宋" w:hAnsi="仿宋" w:eastAsia="仿宋"/>
          <w:color w:val="000000"/>
          <w:sz w:val="28"/>
          <w:szCs w:val="28"/>
        </w:rPr>
        <w:t xml:space="preserve"> </w:t>
      </w:r>
      <w:r>
        <w:rPr>
          <w:rFonts w:hint="eastAsia" w:ascii="仿宋" w:hAnsi="仿宋" w:eastAsia="仿宋"/>
          <w:color w:val="000000"/>
          <w:sz w:val="28"/>
          <w:szCs w:val="28"/>
        </w:rPr>
        <w:t>制度自信。教育引导学生充分认识中国特色社会主义制度的本质特征和优越性。</w:t>
      </w:r>
    </w:p>
    <w:p w14:paraId="52FC38BB">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A1.</w:t>
      </w:r>
      <w:r>
        <w:rPr>
          <w:rFonts w:hint="eastAsia" w:ascii="仿宋" w:hAnsi="仿宋" w:eastAsia="仿宋"/>
          <w:color w:val="000000"/>
          <w:sz w:val="28"/>
          <w:szCs w:val="28"/>
        </w:rPr>
        <w:t>4</w:t>
      </w:r>
      <w:r>
        <w:rPr>
          <w:rFonts w:ascii="仿宋" w:hAnsi="仿宋" w:eastAsia="仿宋"/>
          <w:color w:val="000000"/>
          <w:sz w:val="28"/>
          <w:szCs w:val="28"/>
        </w:rPr>
        <w:t xml:space="preserve"> </w:t>
      </w:r>
      <w:r>
        <w:rPr>
          <w:rFonts w:hint="eastAsia" w:ascii="仿宋" w:hAnsi="仿宋" w:eastAsia="仿宋"/>
          <w:color w:val="000000"/>
          <w:sz w:val="28"/>
          <w:szCs w:val="28"/>
        </w:rPr>
        <w:t>文化自信。教育引导学生自觉弘扬和传承中华优秀传统文化、革命 文化、社会主义先进文化、社会主义核心价值观，坚定中国特色社会主义自信。</w:t>
      </w:r>
    </w:p>
    <w:p w14:paraId="31193AFF">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A2 厚植家国情怀，担当民族伟大复兴重任</w:t>
      </w:r>
    </w:p>
    <w:p w14:paraId="2FF9130B">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民族精神。弘扬以爱国主义为核心的民族精神和以改革创新为核心的时代精神，教育引导学生传承中华文脉，富有中国心、饱含中国情、充满中国味。</w:t>
      </w:r>
    </w:p>
    <w:p w14:paraId="015C4EA3">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使命意识。教育引导学生爱国爱民，树立为祖国为人民永久奋斗、赤诚奉献的坚定理想，立志肩负起民族复兴的时代重任，努力成为社会主义建设者和接班人。</w:t>
      </w:r>
    </w:p>
    <w:p w14:paraId="4D417B30">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A3 立足行业领域，矢志成为国家栋梁</w:t>
      </w:r>
    </w:p>
    <w:p w14:paraId="641FAE36">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行业情怀。教育引导学生树立坚定的专业目标,培养学生的专业志趣，不断激发学生的报国志向和行业情怀。</w:t>
      </w:r>
    </w:p>
    <w:p w14:paraId="2E6B47C0">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爱国敬业。教育引导学生修炼专业素养内功，努力成为可堪大用的栋梁之材。</w:t>
      </w:r>
    </w:p>
    <w:p w14:paraId="64AC6D6F">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A4 追求真理，树立创造未来的远大目标</w:t>
      </w:r>
    </w:p>
    <w:p w14:paraId="45EF2F9D">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科学精神。把马克思主义立场观点方法的教育与科学精神的培养结合起来，培养学生探索未知、追求真理、勇攀科学高峰的责任感和使命感。</w:t>
      </w:r>
    </w:p>
    <w:p w14:paraId="04027048">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科技报国。要注重科学思维方法的训练，注重强化学生科学伦理、工程伦理、环境伦理、生命伦理、医学伦理、商业伦理等方面的教育，培养学生精益求精的大国工匠精神，激发学生科技报国的家国情怀和使命担当。</w:t>
      </w:r>
    </w:p>
    <w:p w14:paraId="6C9A3041">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3</w:t>
      </w:r>
      <w:r>
        <w:rPr>
          <w:rFonts w:ascii="仿宋" w:hAnsi="仿宋" w:eastAsia="仿宋"/>
          <w:color w:val="000000"/>
          <w:sz w:val="28"/>
          <w:szCs w:val="28"/>
        </w:rPr>
        <w:t xml:space="preserve"> </w:t>
      </w:r>
      <w:r>
        <w:rPr>
          <w:rFonts w:hint="eastAsia" w:ascii="仿宋" w:hAnsi="仿宋" w:eastAsia="仿宋"/>
          <w:color w:val="000000"/>
          <w:sz w:val="28"/>
          <w:szCs w:val="28"/>
        </w:rPr>
        <w:t>两山理念。教育引导学生树立和践行绿水青山就是金山银山的理念，引导学生注重对人居环境和自然生态环境的关心与保护，农学类专业要培育学生“爱农知农为农”素养，增强学生服务农业农村现代化、服务乡村全面振兴的使命感和责任感。</w:t>
      </w:r>
    </w:p>
    <w:p w14:paraId="723A0CFF">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4</w:t>
      </w:r>
      <w:r>
        <w:rPr>
          <w:rFonts w:ascii="仿宋" w:hAnsi="仿宋" w:eastAsia="仿宋"/>
          <w:color w:val="000000"/>
          <w:sz w:val="28"/>
          <w:szCs w:val="28"/>
        </w:rPr>
        <w:t xml:space="preserve"> </w:t>
      </w:r>
      <w:r>
        <w:rPr>
          <w:rFonts w:hint="eastAsia" w:ascii="仿宋" w:hAnsi="仿宋" w:eastAsia="仿宋"/>
          <w:color w:val="000000"/>
          <w:sz w:val="28"/>
          <w:szCs w:val="28"/>
        </w:rPr>
        <w:t>法治观念。教育引导学生学思践悟习近平全面依法治国新理念新思想新战略，牢固树立法治观念，坚定走中国特色社会主义法治道路的理想和信念。</w:t>
      </w:r>
    </w:p>
    <w:p w14:paraId="38117551">
      <w:pPr>
        <w:snapToGrid w:val="0"/>
        <w:spacing w:line="480" w:lineRule="exact"/>
        <w:jc w:val="left"/>
        <w:rPr>
          <w:rFonts w:ascii="仿宋" w:hAnsi="仿宋" w:eastAsia="仿宋"/>
          <w:color w:val="000000"/>
          <w:sz w:val="28"/>
          <w:szCs w:val="28"/>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5</w:t>
      </w:r>
      <w:r>
        <w:rPr>
          <w:rFonts w:ascii="仿宋" w:hAnsi="仿宋" w:eastAsia="仿宋"/>
          <w:color w:val="000000"/>
          <w:sz w:val="28"/>
          <w:szCs w:val="28"/>
        </w:rPr>
        <w:t xml:space="preserve"> </w:t>
      </w:r>
      <w:r>
        <w:rPr>
          <w:rFonts w:hint="eastAsia" w:ascii="仿宋" w:hAnsi="仿宋" w:eastAsia="仿宋"/>
          <w:color w:val="000000"/>
          <w:sz w:val="28"/>
          <w:szCs w:val="28"/>
        </w:rPr>
        <w:t>社会责任。教育引导学生深入社会实践、关注现实问题，培养学生养成遵纪守法、德法兼修、经世济民、诚信服务、无私奉献的素养和品格。</w:t>
      </w:r>
    </w:p>
    <w:p w14:paraId="10CE86CF">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6</w:t>
      </w:r>
      <w:r>
        <w:rPr>
          <w:rFonts w:ascii="仿宋" w:hAnsi="仿宋" w:eastAsia="仿宋"/>
          <w:color w:val="000000"/>
          <w:sz w:val="28"/>
          <w:szCs w:val="28"/>
        </w:rPr>
        <w:t xml:space="preserve"> </w:t>
      </w:r>
      <w:r>
        <w:rPr>
          <w:rFonts w:hint="eastAsia" w:ascii="仿宋" w:hAnsi="仿宋" w:eastAsia="仿宋"/>
          <w:color w:val="000000"/>
          <w:sz w:val="28"/>
          <w:szCs w:val="28"/>
        </w:rPr>
        <w:t>人民立场。引导学生立足时代、扎根人民、深入生活，艺术学类专业要培养学生树立正确的艺术观和创作观，教育类专业要培养学生树立学为人师、行为世范的职业理想，医学类专业要培养学生“珍爱生命、大医精诚”的救死扶伤精神，做德医双修、仁心仁术的人民生命健康守护者，为人民谋幸福。</w:t>
      </w:r>
    </w:p>
    <w:p w14:paraId="5E1679A1">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A5 胸怀天下，以增进全人类福祉为己任</w:t>
      </w:r>
    </w:p>
    <w:p w14:paraId="1F450BCD">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全球视野。培养学生的人类情怀、世界胸怀，将“中国梦”与“世界梦”紧密相连，促进学生中西融汇、古今贯通、文理渗透，汲取人类文明精华，为世界谋进步、为人类谋福祉，积极承担构建人类命运共同体的责任与使命。</w:t>
      </w:r>
    </w:p>
    <w:p w14:paraId="36E28A0B">
      <w:pPr>
        <w:snapToGrid w:val="0"/>
        <w:spacing w:line="480" w:lineRule="exact"/>
        <w:jc w:val="left"/>
        <w:rPr>
          <w:rFonts w:hint="eastAsia" w:ascii="仿宋" w:hAnsi="仿宋" w:eastAsia="仿宋"/>
          <w:color w:val="333333"/>
          <w:sz w:val="22"/>
        </w:rPr>
      </w:pPr>
      <w:r>
        <w:rPr>
          <w:rFonts w:hint="eastAsia" w:ascii="仿宋" w:hAnsi="仿宋" w:eastAsia="仿宋"/>
          <w:color w:val="000000"/>
          <w:sz w:val="28"/>
          <w:szCs w:val="28"/>
        </w:rPr>
        <w:t xml:space="preserve"> </w:t>
      </w:r>
      <w:r>
        <w:rPr>
          <w:rFonts w:ascii="仿宋" w:hAnsi="仿宋" w:eastAsia="仿宋"/>
          <w:color w:val="000000"/>
          <w:sz w:val="28"/>
          <w:szCs w:val="28"/>
        </w:rPr>
        <w:t xml:space="preserve">    A</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14:paraId="2BD6A848">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B 知识探究</w:t>
      </w:r>
    </w:p>
    <w:p w14:paraId="6502954A">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B1 深厚的基础理论</w:t>
      </w:r>
    </w:p>
    <w:p w14:paraId="2F262E7F">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B1.1 数学、物理、化学、生物、地理、计算机等学科基础知识</w:t>
      </w:r>
    </w:p>
    <w:p w14:paraId="66D28637">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B1.2 海洋科学概貌及海洋可持续发展等基本知识</w:t>
      </w:r>
    </w:p>
    <w:p w14:paraId="3573E225">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B2 扎实的专业核心</w:t>
      </w:r>
    </w:p>
    <w:p w14:paraId="39B76A14">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B2.1 含生物海洋与海洋生物、化学海洋、地质海洋、海洋环境等领域知识的海洋科学导论</w:t>
      </w:r>
    </w:p>
    <w:p w14:paraId="4C6D436D">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B2.2 生物化学、海洋生态学、气候学与全球变化等专业核心知识体系</w:t>
      </w:r>
    </w:p>
    <w:p w14:paraId="16C0955A">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B3 宽广的跨学科知识</w:t>
      </w:r>
    </w:p>
    <w:p w14:paraId="752E4E9F">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w:t>
      </w:r>
      <w:r>
        <w:rPr>
          <w:rFonts w:ascii="仿宋" w:hAnsi="仿宋" w:eastAsia="仿宋"/>
          <w:color w:val="333333"/>
          <w:sz w:val="28"/>
          <w:szCs w:val="28"/>
        </w:rPr>
        <w:t>生物地球化学、组学大数据、仪器分析</w:t>
      </w:r>
      <w:r>
        <w:rPr>
          <w:rFonts w:hint="eastAsia" w:ascii="仿宋" w:hAnsi="仿宋" w:eastAsia="仿宋"/>
          <w:color w:val="333333"/>
          <w:sz w:val="28"/>
          <w:szCs w:val="28"/>
        </w:rPr>
        <w:t>、海洋保护与可持续发展、洋底动力学</w:t>
      </w:r>
      <w:r>
        <w:rPr>
          <w:rFonts w:ascii="仿宋" w:hAnsi="仿宋" w:eastAsia="仿宋"/>
          <w:color w:val="333333"/>
          <w:sz w:val="28"/>
          <w:szCs w:val="28"/>
        </w:rPr>
        <w:t>等多学科交叉融合的知识</w:t>
      </w:r>
    </w:p>
    <w:p w14:paraId="0C8B1B0F">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B4 领先的专业前沿</w:t>
      </w:r>
    </w:p>
    <w:p w14:paraId="4F99B423">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生物地球化学、组学大数据、地球生物学、洋底动力学等</w:t>
      </w:r>
    </w:p>
    <w:p w14:paraId="56A08A90">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B5 广博的通识教育</w:t>
      </w:r>
    </w:p>
    <w:p w14:paraId="67F0AD12">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人文学科、社会科学、工程技术等通识类知识</w:t>
      </w:r>
    </w:p>
    <w:p w14:paraId="172C87EC">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C 能力建设</w:t>
      </w:r>
    </w:p>
    <w:p w14:paraId="2267304B">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C1 审美与鉴赏能力</w:t>
      </w:r>
    </w:p>
    <w:p w14:paraId="6BB472A1">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C2 沟通协作与管理领导能力</w:t>
      </w:r>
    </w:p>
    <w:p w14:paraId="049E6BF9">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C3 批判性思维、实践与创新能力</w:t>
      </w:r>
    </w:p>
    <w:p w14:paraId="4CA0EF12">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C4 跨文化沟通交流与全球胜任力</w:t>
      </w:r>
    </w:p>
    <w:p w14:paraId="5500678B">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C5 终身学习和自主学习能力</w:t>
      </w:r>
    </w:p>
    <w:p w14:paraId="0B912FD1">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C6 至少一门外语的应用能力</w:t>
      </w:r>
    </w:p>
    <w:p w14:paraId="5BE4231D">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C7 发现、分析与解决问题能力</w:t>
      </w:r>
    </w:p>
    <w:p w14:paraId="5A240698">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w:t>
      </w:r>
      <w:r>
        <w:rPr>
          <w:rFonts w:ascii="仿宋" w:hAnsi="仿宋" w:eastAsia="仿宋"/>
          <w:color w:val="000000"/>
          <w:sz w:val="28"/>
          <w:szCs w:val="28"/>
        </w:rPr>
        <w:t xml:space="preserve"> C8 国际化视野与多元文化包容理解能力</w:t>
      </w:r>
    </w:p>
    <w:p w14:paraId="331DE71C">
      <w:pPr>
        <w:snapToGrid w:val="0"/>
        <w:spacing w:line="480" w:lineRule="exact"/>
        <w:jc w:val="left"/>
        <w:rPr>
          <w:rFonts w:ascii="仿宋" w:hAnsi="仿宋" w:eastAsia="仿宋"/>
          <w:b/>
          <w:bCs/>
          <w:color w:val="333333"/>
          <w:sz w:val="22"/>
        </w:rPr>
      </w:pPr>
      <w:r>
        <w:rPr>
          <w:rFonts w:ascii="仿宋" w:hAnsi="仿宋" w:eastAsia="仿宋"/>
          <w:b/>
          <w:bCs/>
          <w:color w:val="000000"/>
          <w:sz w:val="28"/>
          <w:szCs w:val="28"/>
        </w:rPr>
        <w:t>D 人格养成</w:t>
      </w:r>
    </w:p>
    <w:p w14:paraId="1D37FA9C">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D1 刻苦务实、意志坚强</w:t>
      </w:r>
    </w:p>
    <w:p w14:paraId="0795F98F">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1</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教育引导学生刻苦学习、求真务实，在艰苦奋斗中锤炼意志品质。</w:t>
      </w:r>
    </w:p>
    <w:p w14:paraId="1F938FFC">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1</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教育引导学生勇于实践，树立正确的挫折观，在实践中增长智慧才干。</w:t>
      </w:r>
    </w:p>
    <w:p w14:paraId="7B077063">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D2努力拼搏，敢为人先</w:t>
      </w:r>
    </w:p>
    <w:p w14:paraId="676F8EDB">
      <w:pPr>
        <w:snapToGrid w:val="0"/>
        <w:spacing w:line="480" w:lineRule="exact"/>
        <w:jc w:val="left"/>
        <w:rPr>
          <w:rFonts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培养学生要有敢为人先的锐气，勇于挑战自我,敢于批判与质疑。</w:t>
      </w:r>
    </w:p>
    <w:p w14:paraId="3DC8625E">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2</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培养学生的改革意识，勇于创新创造，努力走在全社会创新的前列。</w:t>
      </w:r>
    </w:p>
    <w:p w14:paraId="4B727ED3">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D3诚实守信，忠于职守</w:t>
      </w:r>
    </w:p>
    <w:p w14:paraId="027833DB">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学习和传承中华民族传统美德，学习和弘扬社会主义新风尚，与人为善，诚实守信。</w:t>
      </w:r>
    </w:p>
    <w:p w14:paraId="586A0BCF">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3</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强化学生的责任担当意识，认真履行职责，爱岗敬业。</w:t>
      </w:r>
    </w:p>
    <w:p w14:paraId="7753E754">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D4身心和谐、体魄强健</w:t>
      </w:r>
    </w:p>
    <w:p w14:paraId="68DE7E45">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培养学生自尊自信、理性平和、积极向上的健康心态。</w:t>
      </w:r>
    </w:p>
    <w:p w14:paraId="3A9F078A">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4</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教育引导学生树立健康第一的教育理念，在体育锻炼和劳动教育中享受乐趣、增强体质、健全人格、锤炼意志。</w:t>
      </w:r>
    </w:p>
    <w:p w14:paraId="01F1173F">
      <w:pPr>
        <w:snapToGrid w:val="0"/>
        <w:spacing w:line="480" w:lineRule="exact"/>
        <w:jc w:val="left"/>
        <w:rPr>
          <w:rFonts w:ascii="仿宋" w:hAnsi="仿宋" w:eastAsia="仿宋"/>
          <w:color w:val="000000"/>
          <w:sz w:val="28"/>
          <w:szCs w:val="28"/>
        </w:rPr>
      </w:pPr>
      <w:r>
        <w:rPr>
          <w:rFonts w:ascii="Calibri" w:hAnsi="Calibri" w:eastAsia="仿宋" w:cs="Calibri"/>
          <w:color w:val="000000"/>
          <w:sz w:val="28"/>
          <w:szCs w:val="28"/>
        </w:rPr>
        <w:t>  </w:t>
      </w:r>
      <w:r>
        <w:rPr>
          <w:rFonts w:ascii="仿宋" w:hAnsi="仿宋" w:eastAsia="仿宋"/>
          <w:color w:val="000000"/>
          <w:sz w:val="28"/>
          <w:szCs w:val="28"/>
        </w:rPr>
        <w:t xml:space="preserve"> D5崇礼明德，仁爱宽容</w:t>
      </w:r>
    </w:p>
    <w:p w14:paraId="191584C3">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1</w:t>
      </w:r>
      <w:r>
        <w:rPr>
          <w:rFonts w:ascii="仿宋" w:hAnsi="仿宋" w:eastAsia="仿宋"/>
          <w:color w:val="000000"/>
          <w:sz w:val="28"/>
          <w:szCs w:val="28"/>
        </w:rPr>
        <w:t xml:space="preserve"> </w:t>
      </w:r>
      <w:r>
        <w:rPr>
          <w:rFonts w:hint="eastAsia" w:ascii="仿宋" w:hAnsi="仿宋" w:eastAsia="仿宋"/>
          <w:color w:val="000000"/>
          <w:sz w:val="28"/>
          <w:szCs w:val="28"/>
        </w:rPr>
        <w:t>引导学生不断提升道德认知，强化道德自律，砥砺道德实践，践行文明礼仪，明大德、守公德、严私德，严格约束自己的操守和行为。</w:t>
      </w:r>
    </w:p>
    <w:p w14:paraId="6992DB25">
      <w:pPr>
        <w:snapToGrid w:val="0"/>
        <w:spacing w:line="480" w:lineRule="exact"/>
        <w:jc w:val="left"/>
        <w:rPr>
          <w:rFonts w:hint="eastAsia" w:ascii="仿宋" w:hAnsi="仿宋" w:eastAsia="仿宋"/>
          <w:color w:val="333333"/>
          <w:sz w:val="22"/>
        </w:rPr>
      </w:pPr>
      <w:r>
        <w:rPr>
          <w:rFonts w:ascii="Calibri" w:hAnsi="Calibri" w:eastAsia="仿宋" w:cs="Calibri"/>
          <w:color w:val="000000"/>
          <w:sz w:val="28"/>
          <w:szCs w:val="28"/>
        </w:rPr>
        <w:t xml:space="preserve">     </w:t>
      </w:r>
      <w:r>
        <w:rPr>
          <w:rFonts w:ascii="仿宋" w:hAnsi="仿宋" w:eastAsia="仿宋"/>
          <w:color w:val="000000"/>
          <w:sz w:val="28"/>
          <w:szCs w:val="28"/>
        </w:rPr>
        <w:t xml:space="preserve"> D</w:t>
      </w:r>
      <w:r>
        <w:rPr>
          <w:rFonts w:hint="eastAsia" w:ascii="仿宋" w:hAnsi="仿宋" w:eastAsia="仿宋"/>
          <w:color w:val="000000"/>
          <w:sz w:val="28"/>
          <w:szCs w:val="28"/>
        </w:rPr>
        <w:t>5</w:t>
      </w:r>
      <w:r>
        <w:rPr>
          <w:rFonts w:ascii="仿宋" w:hAnsi="仿宋" w:eastAsia="仿宋"/>
          <w:color w:val="000000"/>
          <w:sz w:val="28"/>
          <w:szCs w:val="28"/>
        </w:rPr>
        <w:t>.</w:t>
      </w:r>
      <w:r>
        <w:rPr>
          <w:rFonts w:hint="eastAsia" w:ascii="仿宋" w:hAnsi="仿宋" w:eastAsia="仿宋"/>
          <w:color w:val="000000"/>
          <w:sz w:val="28"/>
          <w:szCs w:val="28"/>
        </w:rPr>
        <w:t>2</w:t>
      </w:r>
      <w:r>
        <w:rPr>
          <w:rFonts w:ascii="仿宋" w:hAnsi="仿宋" w:eastAsia="仿宋"/>
          <w:color w:val="000000"/>
          <w:sz w:val="28"/>
          <w:szCs w:val="28"/>
        </w:rPr>
        <w:t xml:space="preserve"> </w:t>
      </w:r>
      <w:r>
        <w:rPr>
          <w:rFonts w:hint="eastAsia" w:ascii="仿宋" w:hAnsi="仿宋" w:eastAsia="仿宋"/>
          <w:color w:val="000000"/>
          <w:sz w:val="28"/>
          <w:szCs w:val="28"/>
        </w:rPr>
        <w:t>培养学生的仁爱之心，树立以人民为中心的价值追求，互敬互重、彼此包容、和谐相处。</w:t>
      </w:r>
    </w:p>
    <w:p w14:paraId="4636F3A5">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color w:val="000000"/>
          <w:sz w:val="32"/>
          <w:szCs w:val="32"/>
        </w:rPr>
        <w:t>课程体系</w:t>
      </w:r>
    </w:p>
    <w:p w14:paraId="452DCF9E">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本专业课程体系由通识教育课程、专业教育课程、专业实践类课程、个性化教育课程和交叉模块课程五大模块构成，各模块要求如下：</w:t>
      </w:r>
    </w:p>
    <w:p w14:paraId="0982AF9A">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rPr>
        <w:t>1.通识教育课程</w:t>
      </w:r>
    </w:p>
    <w:p w14:paraId="75975A31">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rPr>
        <w:t>通识教育课程包括公共必修课2</w:t>
      </w:r>
      <w:r>
        <w:rPr>
          <w:rFonts w:hint="eastAsia" w:ascii="仿宋" w:hAnsi="仿宋" w:eastAsia="仿宋"/>
          <w:color w:val="000000"/>
          <w:sz w:val="28"/>
          <w:szCs w:val="28"/>
          <w:lang w:val="en-US" w:eastAsia="zh-CN"/>
        </w:rPr>
        <w:t>7</w:t>
      </w:r>
      <w:r>
        <w:rPr>
          <w:rFonts w:ascii="仿宋" w:hAnsi="仿宋" w:eastAsia="仿宋"/>
          <w:color w:val="000000"/>
          <w:sz w:val="28"/>
          <w:szCs w:val="28"/>
        </w:rPr>
        <w:t>学分、通识核心课10学分和公共选修课。其中，公共选修课为英语选修课，全部修业期间须修满6学分，且须达到学校英语培养目标基本要求，多修学分计入个性化。通识教育课程总学分最低为</w:t>
      </w:r>
      <w:r>
        <w:rPr>
          <w:rFonts w:hint="eastAsia" w:ascii="仿宋" w:hAnsi="仿宋" w:eastAsia="仿宋"/>
          <w:color w:val="000000"/>
          <w:sz w:val="28"/>
          <w:szCs w:val="28"/>
          <w:highlight w:val="none"/>
        </w:rPr>
        <w:t>4</w:t>
      </w:r>
      <w:r>
        <w:rPr>
          <w:rFonts w:hint="eastAsia" w:ascii="仿宋" w:hAnsi="仿宋" w:eastAsia="仿宋"/>
          <w:color w:val="000000"/>
          <w:sz w:val="28"/>
          <w:szCs w:val="28"/>
          <w:highlight w:val="none"/>
          <w:lang w:val="en-US" w:eastAsia="zh-CN"/>
        </w:rPr>
        <w:t>3</w:t>
      </w:r>
      <w:r>
        <w:rPr>
          <w:rFonts w:ascii="仿宋" w:hAnsi="仿宋" w:eastAsia="仿宋"/>
          <w:color w:val="000000"/>
          <w:sz w:val="28"/>
          <w:szCs w:val="28"/>
          <w:highlight w:val="none"/>
        </w:rPr>
        <w:t>学分。</w:t>
      </w:r>
    </w:p>
    <w:p w14:paraId="4A6C134B">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2.专业教育课程</w:t>
      </w:r>
    </w:p>
    <w:p w14:paraId="2F2D0A13">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专业教育课程由基础必修课、专业必修课、专业选修课三大部分组成。</w:t>
      </w:r>
    </w:p>
    <w:p w14:paraId="6DE84EF8">
      <w:pPr>
        <w:snapToGrid w:val="0"/>
        <w:spacing w:before="60" w:after="60" w:line="480" w:lineRule="exact"/>
        <w:ind w:firstLine="560" w:firstLineChars="200"/>
        <w:jc w:val="left"/>
        <w:rPr>
          <w:rFonts w:ascii="仿宋" w:hAnsi="仿宋" w:eastAsia="仿宋"/>
          <w:color w:val="333333"/>
          <w:sz w:val="28"/>
          <w:szCs w:val="28"/>
          <w:highlight w:val="none"/>
        </w:rPr>
      </w:pPr>
      <w:r>
        <w:rPr>
          <w:rFonts w:ascii="仿宋" w:hAnsi="仿宋" w:eastAsia="仿宋"/>
          <w:color w:val="000000"/>
          <w:sz w:val="28"/>
          <w:szCs w:val="28"/>
          <w:highlight w:val="none"/>
        </w:rPr>
        <w:t>基</w:t>
      </w:r>
      <w:r>
        <w:rPr>
          <w:rFonts w:ascii="仿宋" w:hAnsi="仿宋" w:eastAsia="仿宋"/>
          <w:color w:val="333333"/>
          <w:sz w:val="28"/>
          <w:szCs w:val="28"/>
          <w:highlight w:val="none"/>
        </w:rPr>
        <w:t>础必修课包括涉及数学、物理、化学、电学、理学、计算机等知识的1</w:t>
      </w:r>
      <w:r>
        <w:rPr>
          <w:rFonts w:hint="eastAsia" w:ascii="仿宋" w:hAnsi="仿宋" w:eastAsia="仿宋"/>
          <w:color w:val="333333"/>
          <w:sz w:val="28"/>
          <w:szCs w:val="28"/>
          <w:highlight w:val="none"/>
        </w:rPr>
        <w:t>5</w:t>
      </w:r>
      <w:r>
        <w:rPr>
          <w:rFonts w:ascii="仿宋" w:hAnsi="仿宋" w:eastAsia="仿宋"/>
          <w:color w:val="333333"/>
          <w:sz w:val="28"/>
          <w:szCs w:val="28"/>
          <w:highlight w:val="none"/>
        </w:rPr>
        <w:t>门必修课程，共53学分，须修满全部。</w:t>
      </w:r>
    </w:p>
    <w:p w14:paraId="042A78A8">
      <w:pPr>
        <w:snapToGrid w:val="0"/>
        <w:spacing w:before="60" w:after="60" w:line="480" w:lineRule="exact"/>
        <w:ind w:firstLine="560" w:firstLineChars="200"/>
        <w:jc w:val="left"/>
        <w:rPr>
          <w:rFonts w:ascii="仿宋" w:hAnsi="仿宋" w:eastAsia="仿宋"/>
          <w:color w:val="333333"/>
          <w:sz w:val="28"/>
          <w:szCs w:val="28"/>
          <w:highlight w:val="none"/>
        </w:rPr>
      </w:pPr>
      <w:r>
        <w:rPr>
          <w:rFonts w:ascii="仿宋" w:hAnsi="仿宋" w:eastAsia="仿宋"/>
          <w:color w:val="333333"/>
          <w:sz w:val="28"/>
          <w:szCs w:val="28"/>
          <w:highlight w:val="none"/>
        </w:rPr>
        <w:t>专业必修课</w:t>
      </w:r>
      <w:r>
        <w:rPr>
          <w:rFonts w:hint="eastAsia" w:ascii="仿宋" w:hAnsi="仿宋" w:eastAsia="仿宋"/>
          <w:color w:val="333333"/>
          <w:sz w:val="28"/>
          <w:szCs w:val="28"/>
          <w:highlight w:val="none"/>
          <w:lang w:val="en-US" w:eastAsia="zh-CN"/>
        </w:rPr>
        <w:t>9</w:t>
      </w:r>
      <w:r>
        <w:rPr>
          <w:rFonts w:ascii="仿宋" w:hAnsi="仿宋" w:eastAsia="仿宋"/>
          <w:color w:val="333333"/>
          <w:sz w:val="28"/>
          <w:szCs w:val="28"/>
          <w:highlight w:val="none"/>
        </w:rPr>
        <w:t>门课程，共</w:t>
      </w:r>
      <w:r>
        <w:rPr>
          <w:rFonts w:hint="eastAsia" w:ascii="仿宋" w:hAnsi="仿宋" w:eastAsia="仿宋"/>
          <w:color w:val="333333"/>
          <w:sz w:val="28"/>
          <w:szCs w:val="28"/>
          <w:highlight w:val="none"/>
        </w:rPr>
        <w:t>26</w:t>
      </w:r>
      <w:r>
        <w:rPr>
          <w:rFonts w:ascii="仿宋" w:hAnsi="仿宋" w:eastAsia="仿宋"/>
          <w:color w:val="333333"/>
          <w:sz w:val="28"/>
          <w:szCs w:val="28"/>
          <w:highlight w:val="none"/>
        </w:rPr>
        <w:t>学分，须修满全部。</w:t>
      </w:r>
    </w:p>
    <w:p w14:paraId="6C63828C">
      <w:pPr>
        <w:snapToGrid w:val="0"/>
        <w:spacing w:before="60" w:after="60" w:line="480" w:lineRule="exact"/>
        <w:ind w:firstLine="560" w:firstLineChars="200"/>
        <w:jc w:val="left"/>
        <w:rPr>
          <w:rFonts w:ascii="仿宋" w:hAnsi="仿宋" w:eastAsia="仿宋"/>
          <w:color w:val="333333"/>
          <w:sz w:val="28"/>
          <w:szCs w:val="28"/>
          <w:highlight w:val="none"/>
        </w:rPr>
      </w:pPr>
      <w:r>
        <w:rPr>
          <w:rFonts w:ascii="仿宋" w:hAnsi="仿宋" w:eastAsia="仿宋"/>
          <w:color w:val="333333"/>
          <w:sz w:val="28"/>
          <w:szCs w:val="28"/>
          <w:highlight w:val="none"/>
        </w:rPr>
        <w:t>专业选修课要求最低修满1</w:t>
      </w:r>
      <w:r>
        <w:rPr>
          <w:rFonts w:hint="eastAsia" w:ascii="仿宋" w:hAnsi="仿宋" w:eastAsia="仿宋"/>
          <w:color w:val="333333"/>
          <w:sz w:val="28"/>
          <w:szCs w:val="28"/>
          <w:highlight w:val="none"/>
        </w:rPr>
        <w:t>2</w:t>
      </w:r>
      <w:r>
        <w:rPr>
          <w:rFonts w:ascii="仿宋" w:hAnsi="仿宋" w:eastAsia="仿宋"/>
          <w:color w:val="333333"/>
          <w:sz w:val="28"/>
          <w:szCs w:val="28"/>
          <w:highlight w:val="none"/>
        </w:rPr>
        <w:t>学分，学生必须</w:t>
      </w:r>
      <w:r>
        <w:rPr>
          <w:rFonts w:hint="eastAsia" w:ascii="仿宋" w:hAnsi="仿宋" w:eastAsia="仿宋"/>
          <w:color w:val="333333"/>
          <w:sz w:val="28"/>
          <w:szCs w:val="28"/>
          <w:highlight w:val="none"/>
        </w:rPr>
        <w:t>至少</w:t>
      </w:r>
      <w:r>
        <w:rPr>
          <w:rFonts w:ascii="仿宋" w:hAnsi="仿宋" w:eastAsia="仿宋"/>
          <w:color w:val="333333"/>
          <w:sz w:val="28"/>
          <w:szCs w:val="28"/>
          <w:highlight w:val="none"/>
        </w:rPr>
        <w:t>修完选修核心课中的</w:t>
      </w:r>
      <w:r>
        <w:rPr>
          <w:rFonts w:hint="eastAsia" w:ascii="仿宋" w:hAnsi="仿宋" w:eastAsia="仿宋"/>
          <w:color w:val="333333"/>
          <w:sz w:val="28"/>
          <w:szCs w:val="28"/>
          <w:highlight w:val="none"/>
        </w:rPr>
        <w:t>1</w:t>
      </w:r>
      <w:r>
        <w:rPr>
          <w:rFonts w:ascii="仿宋" w:hAnsi="仿宋" w:eastAsia="仿宋"/>
          <w:color w:val="333333"/>
          <w:sz w:val="28"/>
          <w:szCs w:val="28"/>
          <w:highlight w:val="none"/>
        </w:rPr>
        <w:t>门课共</w:t>
      </w:r>
      <w:r>
        <w:rPr>
          <w:rFonts w:hint="eastAsia" w:ascii="仿宋" w:hAnsi="仿宋" w:eastAsia="仿宋"/>
          <w:color w:val="333333"/>
          <w:sz w:val="28"/>
          <w:szCs w:val="28"/>
          <w:highlight w:val="none"/>
        </w:rPr>
        <w:t>3</w:t>
      </w:r>
      <w:r>
        <w:rPr>
          <w:rFonts w:ascii="仿宋" w:hAnsi="仿宋" w:eastAsia="仿宋"/>
          <w:color w:val="333333"/>
          <w:sz w:val="28"/>
          <w:szCs w:val="28"/>
          <w:highlight w:val="none"/>
        </w:rPr>
        <w:t>学分，剩余</w:t>
      </w:r>
      <w:r>
        <w:rPr>
          <w:rFonts w:hint="eastAsia" w:ascii="仿宋" w:hAnsi="仿宋" w:eastAsia="仿宋"/>
          <w:color w:val="333333"/>
          <w:sz w:val="28"/>
          <w:szCs w:val="28"/>
          <w:highlight w:val="none"/>
        </w:rPr>
        <w:t>9</w:t>
      </w:r>
      <w:r>
        <w:rPr>
          <w:rFonts w:ascii="仿宋" w:hAnsi="仿宋" w:eastAsia="仿宋"/>
          <w:color w:val="333333"/>
          <w:sz w:val="28"/>
          <w:szCs w:val="28"/>
          <w:highlight w:val="none"/>
        </w:rPr>
        <w:t>学分可在专业选修课中任选。</w:t>
      </w:r>
    </w:p>
    <w:p w14:paraId="40941392">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3.实践教育课程</w:t>
      </w:r>
    </w:p>
    <w:p w14:paraId="0BBF924C">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专业实践课程由必修的实验、各类实习实践、专业综合训练等类课程组成，共须修满</w:t>
      </w:r>
      <w:r>
        <w:rPr>
          <w:rFonts w:hint="eastAsia" w:ascii="仿宋" w:hAnsi="仿宋" w:eastAsia="仿宋"/>
          <w:color w:val="000000"/>
          <w:sz w:val="28"/>
          <w:szCs w:val="28"/>
          <w:highlight w:val="none"/>
        </w:rPr>
        <w:t>26</w:t>
      </w:r>
      <w:r>
        <w:rPr>
          <w:rFonts w:ascii="仿宋" w:hAnsi="仿宋" w:eastAsia="仿宋"/>
          <w:color w:val="000000"/>
          <w:sz w:val="28"/>
          <w:szCs w:val="28"/>
          <w:highlight w:val="none"/>
        </w:rPr>
        <w:t>学分。</w:t>
      </w:r>
    </w:p>
    <w:p w14:paraId="4F5C214F">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4.个性化教育课程</w:t>
      </w:r>
    </w:p>
    <w:p w14:paraId="1C76BA47">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个性化教育课程可选修本专业培养计划规定学分以为外、全校范围内的任何可获得学分课程，包括：本专业选修、公共选修、外专业培养计划内课程；大学生PRP项目、大学生科创项目等实践活动。个性化教育课程须修满6学分。选修二专或辅修专业所获学分可冲抵个性化教育课程学分。</w:t>
      </w:r>
    </w:p>
    <w:p w14:paraId="11D502D3">
      <w:pPr>
        <w:snapToGrid w:val="0"/>
        <w:spacing w:line="480" w:lineRule="exact"/>
        <w:ind w:firstLine="560" w:firstLineChars="200"/>
        <w:jc w:val="left"/>
        <w:rPr>
          <w:rFonts w:ascii="仿宋" w:hAnsi="仿宋" w:eastAsia="仿宋"/>
          <w:color w:val="333333"/>
          <w:sz w:val="22"/>
          <w:highlight w:val="none"/>
        </w:rPr>
      </w:pPr>
      <w:r>
        <w:rPr>
          <w:rFonts w:ascii="仿宋" w:hAnsi="仿宋" w:eastAsia="仿宋"/>
          <w:color w:val="000000"/>
          <w:sz w:val="28"/>
          <w:szCs w:val="28"/>
          <w:highlight w:val="none"/>
        </w:rPr>
        <w:t>5.交叉模块课程</w:t>
      </w:r>
    </w:p>
    <w:p w14:paraId="33DA01A4">
      <w:pPr>
        <w:snapToGrid w:val="0"/>
        <w:spacing w:line="480" w:lineRule="exact"/>
        <w:ind w:firstLine="560" w:firstLineChars="200"/>
        <w:jc w:val="left"/>
        <w:rPr>
          <w:rFonts w:ascii="仿宋" w:hAnsi="仿宋" w:eastAsia="仿宋"/>
          <w:color w:val="333333"/>
          <w:sz w:val="22"/>
        </w:rPr>
      </w:pPr>
      <w:r>
        <w:rPr>
          <w:rFonts w:ascii="仿宋" w:hAnsi="仿宋" w:eastAsia="仿宋"/>
          <w:color w:val="000000"/>
          <w:sz w:val="28"/>
          <w:szCs w:val="28"/>
          <w:highlight w:val="none"/>
        </w:rPr>
        <w:t>根据学校规定，选修一个交叉模块，并修满6学分</w:t>
      </w:r>
      <w:r>
        <w:rPr>
          <w:rFonts w:ascii="仿宋" w:hAnsi="仿宋" w:eastAsia="仿宋"/>
          <w:color w:val="000000"/>
          <w:sz w:val="28"/>
          <w:szCs w:val="28"/>
        </w:rPr>
        <w:t>。</w:t>
      </w:r>
    </w:p>
    <w:p w14:paraId="4D7DB1C4">
      <w:pPr>
        <w:pStyle w:val="2"/>
        <w:numPr>
          <w:ilvl w:val="0"/>
          <w:numId w:val="1"/>
        </w:numPr>
        <w:snapToGrid w:val="0"/>
        <w:spacing w:line="480" w:lineRule="exact"/>
        <w:ind w:left="707" w:hanging="707" w:hangingChars="220"/>
        <w:rPr>
          <w:rFonts w:ascii="仿宋" w:hAnsi="仿宋" w:eastAsia="仿宋"/>
          <w:sz w:val="32"/>
          <w:szCs w:val="32"/>
        </w:rPr>
      </w:pPr>
      <w:r>
        <w:rPr>
          <w:rFonts w:ascii="仿宋" w:hAnsi="仿宋" w:eastAsia="仿宋"/>
          <w:color w:val="000000"/>
          <w:sz w:val="32"/>
          <w:szCs w:val="32"/>
        </w:rPr>
        <w:t>学制、毕业学位</w:t>
      </w:r>
    </w:p>
    <w:p w14:paraId="6A198717">
      <w:pPr>
        <w:snapToGrid w:val="0"/>
        <w:spacing w:before="60" w:after="60" w:line="480" w:lineRule="exact"/>
        <w:ind w:firstLine="560" w:firstLineChars="200"/>
        <w:jc w:val="left"/>
        <w:rPr>
          <w:rFonts w:ascii="仿宋" w:hAnsi="仿宋" w:eastAsia="仿宋"/>
          <w:color w:val="333333"/>
          <w:sz w:val="22"/>
        </w:rPr>
      </w:pPr>
      <w:r>
        <w:rPr>
          <w:rFonts w:ascii="仿宋" w:hAnsi="仿宋" w:eastAsia="仿宋"/>
          <w:color w:val="000000"/>
          <w:sz w:val="28"/>
          <w:szCs w:val="28"/>
        </w:rPr>
        <w:t>“海洋科学（物理海洋与观测技术方向）”专业学制4年，允许学生在修完本专业培养计划规定的</w:t>
      </w:r>
      <w:r>
        <w:rPr>
          <w:rFonts w:hint="eastAsia" w:ascii="仿宋" w:hAnsi="仿宋" w:eastAsia="仿宋"/>
          <w:color w:val="000000"/>
          <w:sz w:val="28"/>
          <w:szCs w:val="28"/>
        </w:rPr>
        <w:t>17</w:t>
      </w:r>
      <w:r>
        <w:rPr>
          <w:rFonts w:hint="eastAsia" w:ascii="仿宋" w:hAnsi="仿宋" w:eastAsia="仿宋"/>
          <w:color w:val="000000"/>
          <w:sz w:val="28"/>
          <w:szCs w:val="28"/>
          <w:lang w:val="en-US" w:eastAsia="zh-CN"/>
        </w:rPr>
        <w:t>2</w:t>
      </w:r>
      <w:bookmarkStart w:id="0" w:name="_GoBack"/>
      <w:bookmarkEnd w:id="0"/>
      <w:r>
        <w:rPr>
          <w:rFonts w:ascii="仿宋" w:hAnsi="仿宋" w:eastAsia="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000000"/>
          <w:sz w:val="28"/>
          <w:szCs w:val="28"/>
        </w:rPr>
        <w:t>按照《中华人民共和国学位条例》规定的条件授予理学学士学位。</w:t>
      </w:r>
    </w:p>
    <w:p w14:paraId="706063DB">
      <w:pPr>
        <w:snapToGrid w:val="0"/>
        <w:spacing w:before="60" w:after="60" w:line="480" w:lineRule="exact"/>
        <w:jc w:val="left"/>
        <w:rPr>
          <w:rFonts w:ascii="仿宋" w:hAnsi="仿宋" w:eastAsia="仿宋"/>
          <w:color w:val="333333"/>
          <w:sz w:val="22"/>
        </w:rPr>
      </w:pPr>
    </w:p>
    <w:sectPr>
      <w:pgSz w:w="11906" w:h="16838"/>
      <w:pgMar w:top="1361" w:right="1417" w:bottom="136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FangSong,STFangSong,仿宋,sans-ser">
    <w:altName w:val="仿宋"/>
    <w:panose1 w:val="00000000000000000000"/>
    <w:charset w:val="86"/>
    <w:family w:val="roman"/>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E6304D"/>
    <w:multiLevelType w:val="multilevel"/>
    <w:tmpl w:val="1DE6304D"/>
    <w:lvl w:ilvl="0" w:tentative="0">
      <w:start w:val="1"/>
      <w:numFmt w:val="chineseCountingThousand"/>
      <w:lvlText w:val="%1、"/>
      <w:lvlJc w:val="left"/>
      <w:pPr>
        <w:ind w:left="420" w:hanging="420"/>
      </w:pPr>
      <w:rPr>
        <w:rFonts w:hint="default" w:ascii="FangSong,STFangSong,仿宋,sans-ser" w:hAnsi="FangSong,STFangSong,仿宋,sans-ser" w:eastAsia="FangSong,STFangSong,仿宋,sans-ser"/>
        <w:b/>
        <w:bCs/>
        <w:color w:val="5C5C5C"/>
        <w:sz w:val="36"/>
        <w:szCs w:val="36"/>
      </w:rPr>
    </w:lvl>
    <w:lvl w:ilvl="1" w:tentative="0">
      <w:start w:val="1"/>
      <w:numFmt w:val="decimal"/>
      <w:lvlText w:val="%2、"/>
      <w:lvlJc w:val="left"/>
      <w:pPr>
        <w:ind w:left="840" w:hanging="420"/>
      </w:pPr>
      <w:rPr>
        <w:bCs/>
      </w:rPr>
    </w:lvl>
    <w:lvl w:ilvl="2" w:tentative="0">
      <w:start w:val="1"/>
      <w:numFmt w:val="lowerLetter"/>
      <w:lvlText w:val="%3)"/>
      <w:lvlJc w:val="left"/>
      <w:pPr>
        <w:ind w:left="1260" w:hanging="420"/>
      </w:pPr>
      <w:rPr>
        <w:bCs/>
      </w:rPr>
    </w:lvl>
    <w:lvl w:ilvl="3" w:tentative="0">
      <w:start w:val="1"/>
      <w:numFmt w:val="chineseCountingThousand"/>
      <w:lvlText w:val="%4、"/>
      <w:lvlJc w:val="left"/>
      <w:pPr>
        <w:ind w:left="1680" w:hanging="420"/>
      </w:pPr>
      <w:rPr>
        <w:bCs/>
      </w:rPr>
    </w:lvl>
    <w:lvl w:ilvl="4" w:tentative="0">
      <w:start w:val="1"/>
      <w:numFmt w:val="decimal"/>
      <w:lvlText w:val="%5、"/>
      <w:lvlJc w:val="left"/>
      <w:pPr>
        <w:ind w:left="2100" w:hanging="420"/>
      </w:pPr>
      <w:rPr>
        <w:bCs/>
      </w:rPr>
    </w:lvl>
    <w:lvl w:ilvl="5" w:tentative="0">
      <w:start w:val="1"/>
      <w:numFmt w:val="lowerLetter"/>
      <w:lvlText w:val="%6)"/>
      <w:lvlJc w:val="left"/>
      <w:pPr>
        <w:ind w:left="2520" w:hanging="420"/>
      </w:pPr>
      <w:rPr>
        <w:bCs/>
      </w:rPr>
    </w:lvl>
    <w:lvl w:ilvl="6" w:tentative="0">
      <w:start w:val="1"/>
      <w:numFmt w:val="chineseCountingThousand"/>
      <w:lvlText w:val="%7、"/>
      <w:lvlJc w:val="left"/>
      <w:pPr>
        <w:ind w:left="2940" w:hanging="420"/>
      </w:pPr>
      <w:rPr>
        <w:bCs/>
      </w:rPr>
    </w:lvl>
    <w:lvl w:ilvl="7" w:tentative="0">
      <w:start w:val="1"/>
      <w:numFmt w:val="decimal"/>
      <w:lvlText w:val="%8、"/>
      <w:lvlJc w:val="left"/>
      <w:pPr>
        <w:ind w:left="3360" w:hanging="420"/>
      </w:pPr>
      <w:rPr>
        <w:bCs/>
      </w:rPr>
    </w:lvl>
    <w:lvl w:ilvl="8" w:tentative="0">
      <w:start w:val="0"/>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B59FE"/>
    <w:rsid w:val="000C51B7"/>
    <w:rsid w:val="00216EB9"/>
    <w:rsid w:val="00380FBC"/>
    <w:rsid w:val="003E3F92"/>
    <w:rsid w:val="0059531B"/>
    <w:rsid w:val="00616505"/>
    <w:rsid w:val="0062213C"/>
    <w:rsid w:val="00633F40"/>
    <w:rsid w:val="006549AD"/>
    <w:rsid w:val="00684D9C"/>
    <w:rsid w:val="00757EE5"/>
    <w:rsid w:val="009453A2"/>
    <w:rsid w:val="00A51B2D"/>
    <w:rsid w:val="00A60633"/>
    <w:rsid w:val="00BA0C1A"/>
    <w:rsid w:val="00C061CB"/>
    <w:rsid w:val="00C604EC"/>
    <w:rsid w:val="00E26251"/>
    <w:rsid w:val="00EA1EE8"/>
    <w:rsid w:val="00EB7104"/>
    <w:rsid w:val="00EC5AE0"/>
    <w:rsid w:val="00F53662"/>
    <w:rsid w:val="00FC3F05"/>
    <w:rsid w:val="041A29A1"/>
    <w:rsid w:val="07414C7E"/>
    <w:rsid w:val="083D07F0"/>
    <w:rsid w:val="105E3B74"/>
    <w:rsid w:val="1C2C4424"/>
    <w:rsid w:val="1CD54CE6"/>
    <w:rsid w:val="1DEC38DC"/>
    <w:rsid w:val="291F03A8"/>
    <w:rsid w:val="30456175"/>
    <w:rsid w:val="36772279"/>
    <w:rsid w:val="39CC2359"/>
    <w:rsid w:val="40823F25"/>
    <w:rsid w:val="434067C1"/>
    <w:rsid w:val="4682613E"/>
    <w:rsid w:val="560768CE"/>
    <w:rsid w:val="568D20C3"/>
    <w:rsid w:val="58262DCD"/>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line="408" w:lineRule="auto"/>
      <w:jc w:val="left"/>
      <w:outlineLvl w:val="0"/>
    </w:pPr>
    <w:rPr>
      <w:b/>
      <w:bCs/>
      <w:color w:val="1A1A1A"/>
      <w:kern w:val="44"/>
      <w:sz w:val="36"/>
      <w:szCs w:val="36"/>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qFormat/>
    <w:uiPriority w:val="10"/>
    <w:pPr>
      <w:spacing w:line="480" w:lineRule="auto"/>
      <w:jc w:val="center"/>
      <w:outlineLvl w:val="0"/>
    </w:pPr>
    <w:rPr>
      <w:rFonts w:asciiTheme="majorHAnsi" w:hAnsiTheme="majorHAnsi" w:eastAsiaTheme="majorEastAsia" w:cstheme="majorBidi"/>
      <w:b/>
      <w:bCs/>
      <w:sz w:val="48"/>
      <w:szCs w:val="32"/>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字符"/>
    <w:basedOn w:val="8"/>
    <w:link w:val="4"/>
    <w:semiHidden/>
    <w:qFormat/>
    <w:uiPriority w:val="99"/>
    <w:rPr>
      <w:sz w:val="18"/>
      <w:szCs w:val="18"/>
    </w:rPr>
  </w:style>
  <w:style w:type="character" w:customStyle="1" w:styleId="10">
    <w:name w:val="页脚 字符"/>
    <w:basedOn w:val="8"/>
    <w:link w:val="3"/>
    <w:semiHidden/>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Pages>
  <Words>3452</Words>
  <Characters>3589</Characters>
  <Lines>28</Lines>
  <Paragraphs>7</Paragraphs>
  <TotalTime>23</TotalTime>
  <ScaleCrop>false</ScaleCrop>
  <LinksUpToDate>false</LinksUpToDate>
  <CharactersWithSpaces>3873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2023-09-12T08:37:00Z</dcterms:created>
  <dc:creator>Tencent</dc:creator>
  <cp:lastModifiedBy>我想做个好人</cp:lastModifiedBy>
  <dcterms:modified xsi:type="dcterms:W3CDTF">2024-12-09T06:34:48Z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F3B9CF406DDD477DB4FCC25A26905C77_12</vt:lpwstr>
  </property>
</Properties>
</file>